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Brücke Hauskampstraße (Steg), Ersatzneubau</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12. November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08. Dezember 2025</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4 Wochen</w:t>
            </w:r>
          </w:p>
        </w:tc>
      </w:tr>
    </w:tbl>
    <w:p>
      <w:pPr>
        <w:suppressAutoHyphens/>
        <w:spacing w:line="240" w:lineRule="auto"/>
        <w:ind w:left="2832" w:firstLine="708"/>
      </w:pPr>
      <w:r>
        <w:t xml:space="preserve">       Bindefrist:  </w:t>
      </w:r>
      <w:r>
        <w:rPr>
          <w:b/>
          <w:i/>
        </w:rPr>
        <w:t>05. Deze</w:t>
      </w:r>
      <w:bookmarkStart w:id="0" w:name="_GoBack"/>
      <w:bookmarkEnd w:id="0"/>
      <w:r>
        <w:rPr>
          <w:b/>
          <w:i/>
        </w:rPr>
        <w:t>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71</cp:revision>
  <cp:lastPrinted>2025-08-27T13:06:00Z</cp:lastPrinted>
  <dcterms:created xsi:type="dcterms:W3CDTF">2023-03-24T10:45:00Z</dcterms:created>
  <dcterms:modified xsi:type="dcterms:W3CDTF">2025-10-14T18:57:00Z</dcterms:modified>
</cp:coreProperties>
</file>